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35" w:rsidRPr="00A11835" w:rsidRDefault="00A11835" w:rsidP="00A1183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50505"/>
          <w:kern w:val="36"/>
          <w:sz w:val="42"/>
          <w:szCs w:val="42"/>
          <w:lang w:eastAsia="tr-TR"/>
        </w:rPr>
      </w:pPr>
      <w:r w:rsidRPr="00A11835">
        <w:rPr>
          <w:rFonts w:ascii="Arial" w:eastAsia="Times New Roman" w:hAnsi="Arial" w:cs="Arial"/>
          <w:color w:val="050505"/>
          <w:kern w:val="36"/>
          <w:sz w:val="42"/>
          <w:szCs w:val="42"/>
          <w:lang w:eastAsia="tr-TR"/>
        </w:rPr>
        <w:t>1</w:t>
      </w:r>
      <w:r>
        <w:rPr>
          <w:rFonts w:ascii="Arial" w:eastAsia="Times New Roman" w:hAnsi="Arial" w:cs="Arial"/>
          <w:color w:val="050505"/>
          <w:kern w:val="36"/>
          <w:sz w:val="42"/>
          <w:szCs w:val="42"/>
          <w:lang w:eastAsia="tr-TR"/>
        </w:rPr>
        <w:t>6</w:t>
      </w:r>
      <w:r w:rsidRPr="00A11835">
        <w:rPr>
          <w:rFonts w:ascii="Arial" w:eastAsia="Times New Roman" w:hAnsi="Arial" w:cs="Arial"/>
          <w:color w:val="050505"/>
          <w:kern w:val="36"/>
          <w:sz w:val="42"/>
          <w:szCs w:val="42"/>
          <w:lang w:eastAsia="tr-TR"/>
        </w:rPr>
        <w:t>.Etap KKYDP Tarıma Dayalı Yatırımların Desteklenmesi Hakkında Tebliğ Resmi Gazetede Yayımlandı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​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1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6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.ETAP KIRSAL KALKINMA DESTEKLERİ KAPSAMINDA TARIMA DAYALI YATIRIMLARIN DESTEKLENMESİ HAKKINDA TEBLİĞ (TEBLİĞ NO: 202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4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/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43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) 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20 ŞUBAT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 202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5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 TARİH VE 32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819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 SAYILI RESMİ GAZETEDE YAYIMLANDI.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Kırsal Kalkınma Destekleri Kapsamında Tarıma Dayalı Yatırımlara %50 Hibe Desteği Verilecektir.</w:t>
      </w: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 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Başvuru zamanı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Başvuru zamanı Bakanlıkça yayımlanacak olan 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uygulama rehberinde ilanen</w:t>
      </w: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 duyurulur.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Her uygulama yılı için yatırım projelerinin fiziki olarak son tamamlanma tarihi hibe sözleşmesinin imzalandığı takvim yılının Kasım ayının son iş günüdür.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 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YATIRIM KONULARI</w:t>
      </w: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 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(1) Tarıma dayalı ekonomik yatırım konularında küçük ve orta ölçekli işletmeler için;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a) Tarımsal ürünlerin işlenmesi, paketlenmesi ve depolanmasına yönelik yatırım konularında;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1) Tıbbi ve </w:t>
      </w:r>
      <w:proofErr w:type="gram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aromatik</w:t>
      </w:r>
      <w:proofErr w:type="gram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bitkilere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2) Bitkisel ürünlere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3) Hayvansal ürünlere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4) Çelik silo konusuna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5) Soğuk hava deposu konusuna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proofErr w:type="gram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hibe</w:t>
      </w:r>
      <w:proofErr w:type="gram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desteği kapsamında değerlendirilir.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b) Tarımsal üretime yönelik sabit yatırım konularında;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1) Kapalı ortamda bitkisel üretime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2) Büyükbaş hayvan yetiştiriciliğine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3) Küçükbaş hayvan yetiştiriciliğine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lastRenderedPageBreak/>
        <w:t>4) Kanatlı hayvan yetiştiriciliğine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5) Kültür mantarı üretimine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6) Büyükbaş ve küçükbaş hayvan kesimhanelerine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7) Kanatlı hayvan kesimhanelerine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proofErr w:type="gram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hibe</w:t>
      </w:r>
      <w:proofErr w:type="gram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desteği kapsamında değerlendirilir.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c) Bu Tebliğ kapsamında bulunan konularla ilgili yenilenebilir enerji kaynakları kullanımına yönelik yatırımlar hibe desteği kapsamında değerlendirilir.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ç) Su ürünleri yetiştiriciliğine yönelik yatırım konularında;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1) Denizlerde yetiştiricilik,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2) İç sularda yetiştiricilik,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3) Tarıma dayalı ihtisas organize sanayi bölgelerinde yetiştiricilik,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proofErr w:type="gram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hibe</w:t>
      </w:r>
      <w:proofErr w:type="gram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desteği kapsamında değerlendirilir.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d) Hayvansal ve bitkisel orijinli gübre işlenmesi, paketlenmesi ve depolanmasına yönelik yatırım konularında;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1) Hayvansal orijinli gübre,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2) Bitkisel orijinli gübre,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proofErr w:type="gram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tesisleri</w:t>
      </w:r>
      <w:proofErr w:type="gram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hibe desteği kapsamında değerlendirilir.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(2) Kırsal ekonomik altyapı yatırım konularında küçük ölçekli işletmeler için;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a) Aile işletmeciliği faaliyetlerinin geliştirilmesine yönelik altyapı yatırımları,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b) Arıcılık ve arı ürünlerine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c) Bilişim sistemleri ve eğitimi yatırımları,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ç) El sanatları ve katma değerli ürünlere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d) İpek böceği yetiştiriciliğine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e) Su ürünleri yetiştiriciliğine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f) Tarımsal amaçlı örgütler için makine parkı yatırımları,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g) Tıbbi ve </w:t>
      </w:r>
      <w:proofErr w:type="gram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aromatik</w:t>
      </w:r>
      <w:proofErr w:type="gram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bitki yetiştiriciliğine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proofErr w:type="gram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lastRenderedPageBreak/>
        <w:t>hibe</w:t>
      </w:r>
      <w:proofErr w:type="gram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desteği kapsamında değerlendirilir.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u w:val="single"/>
          <w:lang w:eastAsia="tr-TR"/>
        </w:rPr>
        <w:t>KİMLER BAŞVURABİLİR?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Bakanlığımızın herhangi bir kayıt sistemine kayıtlı olan gerçek ve tüzel kişiler başvurabilir. Tüzel kişiler kapsamında Küçük Orta Ölçekli İşletme kapsamında yer alan Anonim, Limited ve </w:t>
      </w:r>
      <w:proofErr w:type="spell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Kollektif</w:t>
      </w:r>
      <w:proofErr w:type="spell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Şirketler ile Kooperatif ve Birlikler başvurabileceklerdir.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Belirtilen tüzel kişilikler kuruluş tüzüklerinde/ana sözleşmelerinde belirtilen faaliyet alanları ile ilgili yatırım konularına başvurabilirler.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 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u w:val="single"/>
          <w:lang w:eastAsia="tr-TR"/>
        </w:rPr>
        <w:t>PROJE LİMİTLERİ VE SAĞLANACAK HİBE TUTARI NE KADARDIR?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1-Proje limitleri başvuru sahibinin özelliğine göre değişmemekte olup tüm yatırım konularına yönelik olarak Hibeye Esas Proje Tutarı;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Yeni Yatırımlar </w:t>
      </w:r>
      <w:proofErr w:type="gramStart"/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İçin                                            : 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20</w:t>
      </w:r>
      <w:proofErr w:type="gramEnd"/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.000.000-TL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Tamamlama Yatırımları </w:t>
      </w:r>
      <w:proofErr w:type="gramStart"/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İçin                              : 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18</w:t>
      </w:r>
      <w:proofErr w:type="gramEnd"/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.000.000-TL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Kapasite Artırımı Yatırımları </w:t>
      </w:r>
      <w:proofErr w:type="gramStart"/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İçin                      : 1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6</w:t>
      </w:r>
      <w:proofErr w:type="gramEnd"/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.000.000-TL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Teknoloji Yenileme/Modernizasyon Yat. </w:t>
      </w:r>
      <w:proofErr w:type="gramStart"/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İçin  : 1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6</w:t>
      </w:r>
      <w:proofErr w:type="gramEnd"/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.000.000-TL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Program bütçeleri KDV hariç rakamlardan oluşmakta ve yukarıda belirtilen Hibeye Esas Proje Tutarının azami % 50 si hibe olarak yatırımcıya ödenecektir.  Hibeye esas Proje Tutarı 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8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.000.001-TL altında olan</w:t>
      </w: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 başvurular kabul edilmeyecektir. Proje bütçesi yukarıda belirtilen limitlerin üzerinde ise kalan kısımlar yatırımcının kaynaklarından sağlanacaktır.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2-Kırsal ekonomik altyapı yatırım konularında hibeye esas proje tutarı 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8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.000.000 Türk Lirası</w:t>
      </w: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 üst limitini geçemez. Hibeye esas proje tutarı alt limiti 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100.000 Türk Lirasıdır</w:t>
      </w: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. Bu limitin altındaki başvurular kabul edilmez.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​Detaylı Bilgi;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Müdürlüğümüz Kırsal Kalkınma ve Örgütlenme Şube Müdürlüğü bünyesinde yer alan “Ekon</w:t>
      </w:r>
      <w:r w:rsidR="000F3296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omik Yatırımlar Birimi" </w:t>
      </w:r>
      <w:proofErr w:type="spellStart"/>
      <w:r w:rsidR="000F3296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nden</w:t>
      </w:r>
      <w:proofErr w:type="spellEnd"/>
      <w:r w:rsidR="000F3296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</w:t>
      </w:r>
      <w:bookmarkStart w:id="0" w:name="_GoBack"/>
      <w:bookmarkEnd w:id="0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bilgi alabilirsiniz.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            </w:t>
      </w:r>
    </w:p>
    <w:p w:rsidR="008815AC" w:rsidRDefault="008815AC"/>
    <w:sectPr w:rsidR="0088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C"/>
    <w:rsid w:val="000600AD"/>
    <w:rsid w:val="000F3296"/>
    <w:rsid w:val="008815AC"/>
    <w:rsid w:val="00A1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B972"/>
  <w15:chartTrackingRefBased/>
  <w15:docId w15:val="{D30FD8D7-D9C3-4040-9EE8-6BC883C6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8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85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6EDD1-4C0F-4AEF-86EF-9BDC425E4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158D5D-32C7-40F6-804D-96E723D1B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A572F-365E-4CD5-91A3-4DF01CF6B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 KALE</dc:creator>
  <cp:keywords/>
  <dc:description/>
  <cp:lastModifiedBy>Hasan DOĞAN</cp:lastModifiedBy>
  <cp:revision>3</cp:revision>
  <dcterms:created xsi:type="dcterms:W3CDTF">2025-02-20T08:47:00Z</dcterms:created>
  <dcterms:modified xsi:type="dcterms:W3CDTF">2025-02-26T08:33:00Z</dcterms:modified>
</cp:coreProperties>
</file>